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7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Acosta Arcilia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8214 WESTCHESTER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Veritex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VBTX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07/24/2025</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75225</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07/24/2025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2"/>
                <w:szCs w:val="22"/>
                <w:color w:val="auto"/>
              </w:rPr>
            </w:pP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w w:val="94"/>
              </w:rPr>
              <w:t>51,316</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32.22</w:t>
            </w:r>
          </w:p>
        </w:tc>
        <w:tc>
          <w:tcPr>
            <w:tcW w:w="1180" w:type="dxa"/>
            <w:vAlign w:val="bottom"/>
            <w:gridSpan w:val="2"/>
          </w:tcPr>
          <w:p>
            <w:pPr>
              <w:jc w:val="right"/>
              <w:ind w:right="339"/>
              <w:spacing w:after="0"/>
              <w:rPr>
                <w:sz w:val="20"/>
                <w:szCs w:val="20"/>
                <w:color w:val="auto"/>
              </w:rPr>
            </w:pPr>
            <w:r>
              <w:rPr>
                <w:rFonts w:ascii="Times New Roman" w:cs="Times New Roman" w:eastAsia="Times New Roman" w:hAnsi="Times New Roman"/>
                <w:sz w:val="17"/>
                <w:szCs w:val="17"/>
                <w:color w:val="0000FF"/>
              </w:rPr>
              <w:t>3,617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08/28/2025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8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3,617</w:t>
            </w:r>
          </w:p>
        </w:tc>
        <w:tc>
          <w:tcPr>
            <w:tcW w:w="20" w:type="dxa"/>
            <w:vAlign w:val="bottom"/>
          </w:tcPr>
          <w:p>
            <w:pPr>
              <w:spacing w:after="0"/>
              <w:rPr>
                <w:sz w:val="22"/>
                <w:szCs w:val="22"/>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34.33</w:t>
            </w:r>
          </w:p>
        </w:tc>
        <w:tc>
          <w:tcPr>
            <w:tcW w:w="500" w:type="dxa"/>
            <w:vAlign w:val="bottom"/>
          </w:tcPr>
          <w:p>
            <w:pPr>
              <w:spacing w:after="0"/>
              <w:rPr>
                <w:sz w:val="22"/>
                <w:szCs w:val="22"/>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10/20/2025</w:t>
            </w:r>
          </w:p>
        </w:tc>
        <w:tc>
          <w:tcPr>
            <w:tcW w:w="110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18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3,128</w:t>
            </w: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3,128</w:t>
            </w:r>
          </w:p>
        </w:tc>
        <w:tc>
          <w:tcPr>
            <w:tcW w:w="18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at settlement one share of common stock of the Company.</w:t>
      </w:r>
    </w:p>
    <w:p>
      <w:pPr>
        <w:spacing w:after="0" w:line="45" w:lineRule="exact"/>
        <w:rPr>
          <w:rFonts w:ascii="Times New Roman" w:cs="Times New Roman" w:eastAsia="Times New Roman" w:hAnsi="Times New Roman"/>
          <w:sz w:val="13"/>
          <w:szCs w:val="13"/>
          <w:color w:val="008000"/>
        </w:rPr>
      </w:pPr>
    </w:p>
    <w:p>
      <w:pPr>
        <w:ind w:left="40" w:right="180" w:firstLine="3"/>
        <w:spacing w:after="0" w:line="293"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20, 2025, Huntington Bancshares Incorporated (Huntington) acquired the Issuer pursuant to the terms of that certain Agreement and Plan of Merger entered into by and between Huntington and the Issuer, dated as of July 13, 2025 (the Merger Agreement). Pursuant to the terms of the Merger Agreement, the Issuer merged with and into Huntington, with Huntington surviving such merger (the Merger).</w:t>
      </w:r>
    </w:p>
    <w:p>
      <w:pPr>
        <w:spacing w:after="0" w:line="1" w:lineRule="exact"/>
        <w:rPr>
          <w:rFonts w:ascii="Times New Roman" w:cs="Times New Roman" w:eastAsia="Times New Roman" w:hAnsi="Times New Roman"/>
          <w:sz w:val="12"/>
          <w:szCs w:val="12"/>
          <w:color w:val="008000"/>
        </w:rPr>
      </w:pPr>
    </w:p>
    <w:p>
      <w:pPr>
        <w:ind w:left="40" w:right="3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RSU outstanding immediately prior to the Effective Time was canceled and converted into the right to receive (without interest) a number of shares of Huntington common stock equal to the product of (i) the number of shares of Issuer common stock subject to such RSU immediately prior to the Effective Time, multiplied by (ii) the Exchange Ratio (as defined below), less any applicable tax withholdings. The ratio of 1.95 shares of Huntington common stock for one share of Issuer common stock is referred to as the Exchange Ratio.</w:t>
      </w:r>
    </w:p>
    <w:p>
      <w:pPr>
        <w:sectPr>
          <w:pgSz w:w="11900" w:h="16838" w:orient="portrait"/>
          <w:cols w:equalWidth="0" w:num="1">
            <w:col w:w="11080"/>
          </w:cols>
          <w:pgMar w:left="460" w:top="216" w:right="35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C. Malcolm Holland, III,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62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4"/>
          <w:szCs w:val="24"/>
          <w:color w:val="auto"/>
        </w:rPr>
      </w:pPr>
    </w:p>
    <w:p>
      <w:pPr>
        <w:sectPr>
          <w:pgSz w:w="11900" w:h="16838" w:orient="portrait"/>
          <w:cols w:equalWidth="0" w:num="2">
            <w:col w:w="8700" w:space="10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9039" TargetMode="External"/><Relationship Id="rId14" Type="http://schemas.openxmlformats.org/officeDocument/2006/relationships/hyperlink" Target="http://www.sec.gov/cgi-bin/browse-edgar?action=getcompany&amp;CIK=0001501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2025-10-22T17:24:59Z</dcterms:created>
  <dcterms:modified xsi:type="dcterms:W3CDTF">2025-10-22T17:24:59Z</dcterms:modified>
</cp:coreProperties>
</file>