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7421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7421880"/>
                    </a:xfrm>
                    <a:prstGeom prst="rect">
                      <a:avLst/>
                    </a:prstGeom>
                    <a:noFill/>
                  </pic:spPr>
                </pic:pic>
              </a:graphicData>
            </a:graphic>
          </wp:anchor>
        </w:drawing>
      </w:r>
    </w:p>
    <w:p>
      <w:pPr>
        <w:spacing w:after="0" w:line="1194" w:lineRule="exact"/>
        <w:rPr>
          <w:sz w:val="24"/>
          <w:szCs w:val="24"/>
          <w:color w:val="auto"/>
        </w:rPr>
      </w:pPr>
    </w:p>
    <w:p>
      <w:pPr>
        <w:sectPr>
          <w:pgSz w:w="11900" w:h="16903"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Bolin Pat S</w:t>
              </w:r>
            </w:hyperlink>
          </w:p>
        </w:tc>
        <w:tc>
          <w:tcPr>
            <w:tcW w:w="1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Veritex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VBTX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3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40" w:type="dxa"/>
            <w:vAlign w:val="bottom"/>
            <w:tcBorders>
              <w:top w:val="single" w:sz="8" w:color="0000EE"/>
            </w:tcBorders>
          </w:tcPr>
          <w:p>
            <w:pPr>
              <w:spacing w:after="0"/>
              <w:rPr>
                <w:sz w:val="5"/>
                <w:szCs w:val="5"/>
                <w:color w:val="auto"/>
              </w:rPr>
            </w:pPr>
          </w:p>
        </w:tc>
        <w:tc>
          <w:tcPr>
            <w:tcW w:w="19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4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vMerge w:val="restart"/>
          </w:tcPr>
          <w:p>
            <w:pPr>
              <w:ind w:left="1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0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10/20/2025</w:t>
            </w:r>
          </w:p>
        </w:tc>
        <w:tc>
          <w:tcPr>
            <w:tcW w:w="19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9"/>
              </w:rPr>
              <w:t>C/O VERITEX HOLDINGS, INC.</w:t>
            </w:r>
          </w:p>
        </w:tc>
        <w:tc>
          <w:tcPr>
            <w:tcW w:w="1220" w:type="dxa"/>
            <w:vAlign w:val="bottom"/>
          </w:tcPr>
          <w:p>
            <w:pPr>
              <w:spacing w:after="0"/>
              <w:rPr>
                <w:sz w:val="10"/>
                <w:szCs w:val="10"/>
                <w:color w:val="auto"/>
              </w:rPr>
            </w:pPr>
          </w:p>
        </w:tc>
        <w:tc>
          <w:tcPr>
            <w:tcW w:w="2000" w:type="dxa"/>
            <w:vAlign w:val="bottom"/>
            <w:gridSpan w:val="3"/>
            <w:vMerge w:val="continue"/>
          </w:tcPr>
          <w:p>
            <w:pPr>
              <w:spacing w:after="0"/>
              <w:rPr>
                <w:sz w:val="10"/>
                <w:szCs w:val="10"/>
                <w:color w:val="auto"/>
              </w:rPr>
            </w:pPr>
          </w:p>
        </w:tc>
        <w:tc>
          <w:tcPr>
            <w:tcW w:w="19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8214 WESTCHESTER DRIVE, SUITE 800</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9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903" w:orient="portrait"/>
          <w:cols w:equalWidth="0" w:num="1">
            <w:col w:w="11080"/>
          </w:cols>
          <w:pgMar w:left="460" w:top="216" w:right="359" w:bottom="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75225</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903" w:orient="portrait"/>
          <w:cols w:equalWidth="0" w:num="2">
            <w:col w:w="7540" w:space="720"/>
            <w:col w:w="282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w w:val="95"/>
              </w:rPr>
              <w:t>5. Amount of</w:t>
            </w:r>
          </w:p>
        </w:tc>
        <w:tc>
          <w:tcPr>
            <w:tcW w:w="1320" w:type="dxa"/>
            <w:vAlign w:val="bottom"/>
            <w:gridSpan w:val="2"/>
          </w:tcPr>
          <w:p>
            <w:pPr>
              <w:ind w:left="40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1320" w:type="dxa"/>
            <w:vAlign w:val="bottom"/>
            <w:gridSpan w:val="2"/>
          </w:tcPr>
          <w:p>
            <w:pPr>
              <w:ind w:left="400"/>
              <w:spacing w:after="0" w:line="129"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ind w:left="54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1320" w:type="dxa"/>
            <w:vAlign w:val="bottom"/>
            <w:gridSpan w:val="2"/>
          </w:tcPr>
          <w:p>
            <w:pPr>
              <w:ind w:left="400"/>
              <w:spacing w:after="0" w:line="130"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60" w:type="dxa"/>
            <w:vAlign w:val="bottom"/>
            <w:vMerge w:val="restart"/>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6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(A) or</w:t>
            </w:r>
          </w:p>
        </w:tc>
        <w:tc>
          <w:tcPr>
            <w:tcW w:w="540" w:type="dxa"/>
            <w:vAlign w:val="bottom"/>
            <w:gridSpan w:val="2"/>
            <w:vMerge w:val="restart"/>
          </w:tcPr>
          <w:p>
            <w:pPr>
              <w:jc w:val="right"/>
              <w:ind w:right="182"/>
              <w:spacing w:after="0"/>
              <w:rPr>
                <w:sz w:val="20"/>
                <w:szCs w:val="20"/>
                <w:color w:val="auto"/>
              </w:rPr>
            </w:pPr>
            <w:r>
              <w:rPr>
                <w:rFonts w:ascii="Arial" w:cs="Arial" w:eastAsia="Arial" w:hAnsi="Arial"/>
                <w:sz w:val="12"/>
                <w:szCs w:val="12"/>
                <w:b w:val="1"/>
                <w:bCs w:val="1"/>
                <w:color w:val="auto"/>
                <w:w w:val="95"/>
              </w:rPr>
              <w:t>Price</w:t>
            </w:r>
          </w:p>
        </w:tc>
        <w:tc>
          <w:tcPr>
            <w:tcW w:w="40" w:type="dxa"/>
            <w:vAlign w:val="bottom"/>
          </w:tcPr>
          <w:p>
            <w:pPr>
              <w:spacing w:after="0"/>
              <w:rPr>
                <w:sz w:val="11"/>
                <w:szCs w:val="11"/>
                <w:color w:val="auto"/>
              </w:rPr>
            </w:pPr>
          </w:p>
        </w:tc>
        <w:tc>
          <w:tcPr>
            <w:tcW w:w="1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6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10/20/2025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10"/>
              <w:spacing w:after="0"/>
              <w:rPr>
                <w:sz w:val="20"/>
                <w:szCs w:val="20"/>
                <w:color w:val="auto"/>
              </w:rPr>
            </w:pPr>
            <w:r>
              <w:rPr>
                <w:rFonts w:ascii="Times New Roman" w:cs="Times New Roman" w:eastAsia="Times New Roman" w:hAnsi="Times New Roman"/>
                <w:sz w:val="17"/>
                <w:szCs w:val="17"/>
                <w:color w:val="0000FF"/>
              </w:rPr>
              <w:t>47,328</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jc w:val="right"/>
              <w:ind w:right="162"/>
              <w:spacing w:after="0"/>
              <w:rPr>
                <w:sz w:val="20"/>
                <w:szCs w:val="20"/>
                <w:color w:val="auto"/>
              </w:rPr>
            </w:pPr>
            <w:r>
              <w:rPr>
                <w:rFonts w:ascii="Times New Roman" w:cs="Times New Roman" w:eastAsia="Times New Roman" w:hAnsi="Times New Roman"/>
                <w:sz w:val="11"/>
                <w:szCs w:val="11"/>
                <w:color w:val="008000"/>
              </w:rPr>
              <w:t>(2)</w:t>
            </w:r>
          </w:p>
        </w:tc>
        <w:tc>
          <w:tcPr>
            <w:tcW w:w="800" w:type="dxa"/>
            <w:vAlign w:val="bottom"/>
            <w:tcBorders>
              <w:bottom w:val="single" w:sz="8" w:color="2C2C2C"/>
            </w:tcBorders>
            <w:gridSpan w:val="2"/>
          </w:tcPr>
          <w:p>
            <w:pPr>
              <w:jc w:val="right"/>
              <w:ind w:right="122"/>
              <w:spacing w:after="0"/>
              <w:rPr>
                <w:sz w:val="20"/>
                <w:szCs w:val="20"/>
                <w:color w:val="auto"/>
              </w:rPr>
            </w:pPr>
            <w:r>
              <w:rPr>
                <w:rFonts w:ascii="Times New Roman" w:cs="Times New Roman" w:eastAsia="Times New Roman" w:hAnsi="Times New Roman"/>
                <w:sz w:val="17"/>
                <w:szCs w:val="17"/>
                <w:color w:val="0000FF"/>
              </w:rPr>
              <w:t>0</w:t>
            </w:r>
          </w:p>
        </w:tc>
        <w:tc>
          <w:tcPr>
            <w:tcW w:w="900" w:type="dxa"/>
            <w:vAlign w:val="bottom"/>
            <w:tcBorders>
              <w:bottom w:val="single" w:sz="8" w:color="2C2C2C"/>
            </w:tcBorders>
          </w:tcPr>
          <w:p>
            <w:pPr>
              <w:ind w:left="740"/>
              <w:spacing w:after="0"/>
              <w:rPr>
                <w:sz w:val="20"/>
                <w:szCs w:val="20"/>
                <w:color w:val="auto"/>
              </w:rPr>
            </w:pPr>
            <w:r>
              <w:rPr>
                <w:rFonts w:ascii="Times New Roman" w:cs="Times New Roman" w:eastAsia="Times New Roman" w:hAnsi="Times New Roman"/>
                <w:sz w:val="17"/>
                <w:szCs w:val="17"/>
                <w:color w:val="0000FF"/>
              </w:rPr>
              <w:t>D</w:t>
            </w:r>
          </w:p>
        </w:tc>
        <w:tc>
          <w:tcPr>
            <w:tcW w:w="4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Bolin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54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10/20/2025</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ind w:left="120"/>
              <w:spacing w:after="0" w:line="207"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1"/>
                <w:szCs w:val="11"/>
                <w:color w:val="008000"/>
              </w:rPr>
              <w:t>(1)</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7"/>
                <w:szCs w:val="17"/>
                <w:color w:val="0000FF"/>
              </w:rPr>
              <w:t>26,670</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Pr>
          <w:p>
            <w:pPr>
              <w:spacing w:after="0"/>
              <w:rPr>
                <w:sz w:val="18"/>
                <w:szCs w:val="18"/>
                <w:color w:val="auto"/>
              </w:rPr>
            </w:pPr>
          </w:p>
        </w:tc>
        <w:tc>
          <w:tcPr>
            <w:tcW w:w="480" w:type="dxa"/>
            <w:vAlign w:val="bottom"/>
          </w:tcPr>
          <w:p>
            <w:pPr>
              <w:jc w:val="right"/>
              <w:ind w:right="162"/>
              <w:spacing w:after="0"/>
              <w:rPr>
                <w:sz w:val="20"/>
                <w:szCs w:val="20"/>
                <w:color w:val="auto"/>
              </w:rPr>
            </w:pPr>
            <w:r>
              <w:rPr>
                <w:rFonts w:ascii="Times New Roman" w:cs="Times New Roman" w:eastAsia="Times New Roman" w:hAnsi="Times New Roman"/>
                <w:sz w:val="11"/>
                <w:szCs w:val="11"/>
                <w:color w:val="008000"/>
              </w:rPr>
              <w:t>(2)</w:t>
            </w:r>
          </w:p>
        </w:tc>
        <w:tc>
          <w:tcPr>
            <w:tcW w:w="800" w:type="dxa"/>
            <w:vAlign w:val="bottom"/>
            <w:gridSpan w:val="2"/>
          </w:tcPr>
          <w:p>
            <w:pPr>
              <w:jc w:val="right"/>
              <w:ind w:right="122"/>
              <w:spacing w:after="0"/>
              <w:rPr>
                <w:sz w:val="20"/>
                <w:szCs w:val="20"/>
                <w:color w:val="auto"/>
              </w:rPr>
            </w:pPr>
            <w:r>
              <w:rPr>
                <w:rFonts w:ascii="Times New Roman" w:cs="Times New Roman" w:eastAsia="Times New Roman" w:hAnsi="Times New Roman"/>
                <w:sz w:val="17"/>
                <w:szCs w:val="17"/>
                <w:color w:val="0000FF"/>
              </w:rPr>
              <w:t>0</w:t>
            </w:r>
          </w:p>
        </w:tc>
        <w:tc>
          <w:tcPr>
            <w:tcW w:w="900" w:type="dxa"/>
            <w:vAlign w:val="bottom"/>
          </w:tcPr>
          <w:p>
            <w:pPr>
              <w:ind w:left="780"/>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Pr>
          <w:p>
            <w:pPr>
              <w:spacing w:after="0"/>
              <w:rPr>
                <w:sz w:val="18"/>
                <w:szCs w:val="18"/>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7"/>
                <w:szCs w:val="17"/>
                <w:color w:val="0000FF"/>
              </w:rPr>
              <w:t>LP</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DHB</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5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10/20/2025</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720" w:type="dxa"/>
            <w:vAlign w:val="bottom"/>
            <w:vMerge w:val="restart"/>
          </w:tcPr>
          <w:p>
            <w:pPr>
              <w:jc w:val="right"/>
              <w:ind w:right="10"/>
              <w:spacing w:after="0"/>
              <w:rPr>
                <w:sz w:val="20"/>
                <w:szCs w:val="20"/>
                <w:color w:val="auto"/>
              </w:rPr>
            </w:pPr>
            <w:r>
              <w:rPr>
                <w:rFonts w:ascii="Times New Roman" w:cs="Times New Roman" w:eastAsia="Times New Roman" w:hAnsi="Times New Roman"/>
                <w:sz w:val="17"/>
                <w:szCs w:val="17"/>
                <w:color w:val="0000FF"/>
              </w:rPr>
              <w:t>24,249</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Pr>
          <w:p>
            <w:pPr>
              <w:spacing w:after="0"/>
              <w:rPr>
                <w:sz w:val="18"/>
                <w:szCs w:val="18"/>
                <w:color w:val="auto"/>
              </w:rPr>
            </w:pPr>
          </w:p>
        </w:tc>
        <w:tc>
          <w:tcPr>
            <w:tcW w:w="480" w:type="dxa"/>
            <w:vAlign w:val="bottom"/>
            <w:vMerge w:val="restart"/>
          </w:tcPr>
          <w:p>
            <w:pPr>
              <w:jc w:val="right"/>
              <w:ind w:right="162"/>
              <w:spacing w:after="0"/>
              <w:rPr>
                <w:sz w:val="20"/>
                <w:szCs w:val="20"/>
                <w:color w:val="auto"/>
              </w:rPr>
            </w:pPr>
            <w:r>
              <w:rPr>
                <w:rFonts w:ascii="Times New Roman" w:cs="Times New Roman" w:eastAsia="Times New Roman" w:hAnsi="Times New Roman"/>
                <w:sz w:val="11"/>
                <w:szCs w:val="11"/>
                <w:color w:val="008000"/>
              </w:rPr>
              <w:t>(2)</w:t>
            </w:r>
          </w:p>
        </w:tc>
        <w:tc>
          <w:tcPr>
            <w:tcW w:w="800" w:type="dxa"/>
            <w:vAlign w:val="bottom"/>
            <w:gridSpan w:val="2"/>
            <w:vMerge w:val="restart"/>
          </w:tcPr>
          <w:p>
            <w:pPr>
              <w:jc w:val="right"/>
              <w:ind w:right="122"/>
              <w:spacing w:after="0"/>
              <w:rPr>
                <w:sz w:val="20"/>
                <w:szCs w:val="20"/>
                <w:color w:val="auto"/>
              </w:rPr>
            </w:pPr>
            <w:r>
              <w:rPr>
                <w:rFonts w:ascii="Times New Roman" w:cs="Times New Roman" w:eastAsia="Times New Roman" w:hAnsi="Times New Roman"/>
                <w:sz w:val="17"/>
                <w:szCs w:val="17"/>
                <w:color w:val="0000FF"/>
              </w:rPr>
              <w:t>0</w:t>
            </w:r>
          </w:p>
        </w:tc>
        <w:tc>
          <w:tcPr>
            <w:tcW w:w="900" w:type="dxa"/>
            <w:vAlign w:val="bottom"/>
            <w:vMerge w:val="restart"/>
          </w:tcPr>
          <w:p>
            <w:pPr>
              <w:ind w:left="780"/>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Pr>
          <w:p>
            <w:pPr>
              <w:spacing w:after="0"/>
              <w:rPr>
                <w:sz w:val="18"/>
                <w:szCs w:val="18"/>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Partnership,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line="272" w:lineRule="exact"/>
              <w:rPr>
                <w:sz w:val="20"/>
                <w:szCs w:val="20"/>
                <w:color w:val="auto"/>
              </w:rPr>
            </w:pPr>
            <w:r>
              <w:rPr>
                <w:rFonts w:ascii="Times New Roman" w:cs="Times New Roman" w:eastAsia="Times New Roman" w:hAnsi="Times New Roman"/>
                <w:sz w:val="31"/>
                <w:szCs w:val="31"/>
                <w:color w:val="0000FF"/>
                <w:w w:val="94"/>
                <w:vertAlign w:val="subscript"/>
              </w:rPr>
              <w:t>LP</w:t>
            </w:r>
            <w:r>
              <w:rPr>
                <w:rFonts w:ascii="Times New Roman" w:cs="Times New Roman" w:eastAsia="Times New Roman" w:hAnsi="Times New Roman"/>
                <w:sz w:val="10"/>
                <w:szCs w:val="10"/>
                <w:color w:val="008000"/>
                <w:w w:val="94"/>
              </w:rPr>
              <w:t>(3)</w:t>
            </w: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5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10/20/2025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720" w:type="dxa"/>
            <w:vAlign w:val="bottom"/>
            <w:vMerge w:val="restart"/>
          </w:tcPr>
          <w:p>
            <w:pPr>
              <w:jc w:val="right"/>
              <w:ind w:right="10"/>
              <w:spacing w:after="0"/>
              <w:rPr>
                <w:sz w:val="20"/>
                <w:szCs w:val="20"/>
                <w:color w:val="auto"/>
              </w:rPr>
            </w:pPr>
            <w:r>
              <w:rPr>
                <w:rFonts w:ascii="Times New Roman" w:cs="Times New Roman" w:eastAsia="Times New Roman" w:hAnsi="Times New Roman"/>
                <w:sz w:val="17"/>
                <w:szCs w:val="17"/>
                <w:color w:val="0000FF"/>
              </w:rPr>
              <w:t>96,237</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Pr>
          <w:p>
            <w:pPr>
              <w:spacing w:after="0"/>
              <w:rPr>
                <w:sz w:val="21"/>
                <w:szCs w:val="21"/>
                <w:color w:val="auto"/>
              </w:rPr>
            </w:pPr>
          </w:p>
        </w:tc>
        <w:tc>
          <w:tcPr>
            <w:tcW w:w="480" w:type="dxa"/>
            <w:vAlign w:val="bottom"/>
            <w:vMerge w:val="restart"/>
          </w:tcPr>
          <w:p>
            <w:pPr>
              <w:jc w:val="right"/>
              <w:ind w:right="162"/>
              <w:spacing w:after="0"/>
              <w:rPr>
                <w:sz w:val="20"/>
                <w:szCs w:val="20"/>
                <w:color w:val="auto"/>
              </w:rPr>
            </w:pPr>
            <w:r>
              <w:rPr>
                <w:rFonts w:ascii="Times New Roman" w:cs="Times New Roman" w:eastAsia="Times New Roman" w:hAnsi="Times New Roman"/>
                <w:sz w:val="11"/>
                <w:szCs w:val="11"/>
                <w:color w:val="008000"/>
              </w:rPr>
              <w:t>(2)</w:t>
            </w:r>
          </w:p>
        </w:tc>
        <w:tc>
          <w:tcPr>
            <w:tcW w:w="800" w:type="dxa"/>
            <w:vAlign w:val="bottom"/>
            <w:gridSpan w:val="2"/>
            <w:vMerge w:val="restart"/>
          </w:tcPr>
          <w:p>
            <w:pPr>
              <w:jc w:val="right"/>
              <w:ind w:right="122"/>
              <w:spacing w:after="0"/>
              <w:rPr>
                <w:sz w:val="20"/>
                <w:szCs w:val="20"/>
                <w:color w:val="auto"/>
              </w:rPr>
            </w:pPr>
            <w:r>
              <w:rPr>
                <w:rFonts w:ascii="Times New Roman" w:cs="Times New Roman" w:eastAsia="Times New Roman" w:hAnsi="Times New Roman"/>
                <w:sz w:val="17"/>
                <w:szCs w:val="17"/>
                <w:color w:val="0000FF"/>
              </w:rPr>
              <w:t>0</w:t>
            </w:r>
          </w:p>
        </w:tc>
        <w:tc>
          <w:tcPr>
            <w:tcW w:w="900" w:type="dxa"/>
            <w:vAlign w:val="bottom"/>
            <w:vMerge w:val="restart"/>
          </w:tcPr>
          <w:p>
            <w:pPr>
              <w:ind w:left="780"/>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Pr>
          <w:p>
            <w:pPr>
              <w:spacing w:after="0"/>
              <w:rPr>
                <w:sz w:val="21"/>
                <w:szCs w:val="21"/>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Anasazi</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Capital, LP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PSB</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54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0000FF"/>
              </w:rPr>
              <w:t>10/20/2025</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ind w:left="120"/>
              <w:spacing w:after="0" w:line="207" w:lineRule="exact"/>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1"/>
                <w:szCs w:val="11"/>
                <w:color w:val="008000"/>
              </w:rPr>
              <w:t>(1)</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7"/>
                <w:szCs w:val="17"/>
                <w:color w:val="0000FF"/>
              </w:rPr>
              <w:t>22,250</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Pr>
          <w:p>
            <w:pPr>
              <w:spacing w:after="0"/>
              <w:rPr>
                <w:sz w:val="18"/>
                <w:szCs w:val="18"/>
                <w:color w:val="auto"/>
              </w:rPr>
            </w:pPr>
          </w:p>
        </w:tc>
        <w:tc>
          <w:tcPr>
            <w:tcW w:w="480" w:type="dxa"/>
            <w:vAlign w:val="bottom"/>
          </w:tcPr>
          <w:p>
            <w:pPr>
              <w:jc w:val="right"/>
              <w:ind w:right="162"/>
              <w:spacing w:after="0"/>
              <w:rPr>
                <w:sz w:val="20"/>
                <w:szCs w:val="20"/>
                <w:color w:val="auto"/>
              </w:rPr>
            </w:pPr>
            <w:r>
              <w:rPr>
                <w:rFonts w:ascii="Times New Roman" w:cs="Times New Roman" w:eastAsia="Times New Roman" w:hAnsi="Times New Roman"/>
                <w:sz w:val="11"/>
                <w:szCs w:val="11"/>
                <w:color w:val="008000"/>
              </w:rPr>
              <w:t>(2)</w:t>
            </w:r>
          </w:p>
        </w:tc>
        <w:tc>
          <w:tcPr>
            <w:tcW w:w="800" w:type="dxa"/>
            <w:vAlign w:val="bottom"/>
            <w:gridSpan w:val="2"/>
          </w:tcPr>
          <w:p>
            <w:pPr>
              <w:jc w:val="right"/>
              <w:ind w:right="122"/>
              <w:spacing w:after="0"/>
              <w:rPr>
                <w:sz w:val="20"/>
                <w:szCs w:val="20"/>
                <w:color w:val="auto"/>
              </w:rPr>
            </w:pPr>
            <w:r>
              <w:rPr>
                <w:rFonts w:ascii="Times New Roman" w:cs="Times New Roman" w:eastAsia="Times New Roman" w:hAnsi="Times New Roman"/>
                <w:sz w:val="17"/>
                <w:szCs w:val="17"/>
                <w:color w:val="0000FF"/>
              </w:rPr>
              <w:t>0</w:t>
            </w:r>
          </w:p>
        </w:tc>
        <w:tc>
          <w:tcPr>
            <w:tcW w:w="900" w:type="dxa"/>
            <w:vAlign w:val="bottom"/>
          </w:tcPr>
          <w:p>
            <w:pPr>
              <w:ind w:left="780"/>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Pr>
          <w:p>
            <w:pPr>
              <w:spacing w:after="0"/>
              <w:rPr>
                <w:sz w:val="18"/>
                <w:szCs w:val="18"/>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 II</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Red Star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54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10/20/2025</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720" w:type="dxa"/>
            <w:vAlign w:val="bottom"/>
            <w:vMerge w:val="restart"/>
          </w:tcPr>
          <w:p>
            <w:pPr>
              <w:jc w:val="right"/>
              <w:ind w:right="10"/>
              <w:spacing w:after="0"/>
              <w:rPr>
                <w:sz w:val="20"/>
                <w:szCs w:val="20"/>
                <w:color w:val="auto"/>
              </w:rPr>
            </w:pPr>
            <w:r>
              <w:rPr>
                <w:rFonts w:ascii="Times New Roman" w:cs="Times New Roman" w:eastAsia="Times New Roman" w:hAnsi="Times New Roman"/>
                <w:sz w:val="17"/>
                <w:szCs w:val="17"/>
                <w:color w:val="0000FF"/>
              </w:rPr>
              <w:t>10,000</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Pr>
          <w:p>
            <w:pPr>
              <w:spacing w:after="0"/>
              <w:rPr>
                <w:sz w:val="18"/>
                <w:szCs w:val="18"/>
                <w:color w:val="auto"/>
              </w:rPr>
            </w:pPr>
          </w:p>
        </w:tc>
        <w:tc>
          <w:tcPr>
            <w:tcW w:w="480" w:type="dxa"/>
            <w:vAlign w:val="bottom"/>
            <w:vMerge w:val="restart"/>
          </w:tcPr>
          <w:p>
            <w:pPr>
              <w:jc w:val="right"/>
              <w:ind w:right="162"/>
              <w:spacing w:after="0"/>
              <w:rPr>
                <w:sz w:val="20"/>
                <w:szCs w:val="20"/>
                <w:color w:val="auto"/>
              </w:rPr>
            </w:pPr>
            <w:r>
              <w:rPr>
                <w:rFonts w:ascii="Times New Roman" w:cs="Times New Roman" w:eastAsia="Times New Roman" w:hAnsi="Times New Roman"/>
                <w:sz w:val="11"/>
                <w:szCs w:val="11"/>
                <w:color w:val="008000"/>
              </w:rPr>
              <w:t>(2)</w:t>
            </w:r>
          </w:p>
        </w:tc>
        <w:tc>
          <w:tcPr>
            <w:tcW w:w="800" w:type="dxa"/>
            <w:vAlign w:val="bottom"/>
            <w:gridSpan w:val="2"/>
            <w:vMerge w:val="restart"/>
          </w:tcPr>
          <w:p>
            <w:pPr>
              <w:jc w:val="right"/>
              <w:ind w:right="122"/>
              <w:spacing w:after="0"/>
              <w:rPr>
                <w:sz w:val="20"/>
                <w:szCs w:val="20"/>
                <w:color w:val="auto"/>
              </w:rPr>
            </w:pPr>
            <w:r>
              <w:rPr>
                <w:rFonts w:ascii="Times New Roman" w:cs="Times New Roman" w:eastAsia="Times New Roman" w:hAnsi="Times New Roman"/>
                <w:sz w:val="17"/>
                <w:szCs w:val="17"/>
                <w:color w:val="0000FF"/>
              </w:rPr>
              <w:t>0</w:t>
            </w:r>
          </w:p>
        </w:tc>
        <w:tc>
          <w:tcPr>
            <w:tcW w:w="900" w:type="dxa"/>
            <w:vAlign w:val="bottom"/>
            <w:vMerge w:val="restart"/>
          </w:tcPr>
          <w:p>
            <w:pPr>
              <w:ind w:left="780"/>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Pr>
          <w:p>
            <w:pPr>
              <w:spacing w:after="0"/>
              <w:rPr>
                <w:sz w:val="18"/>
                <w:szCs w:val="18"/>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Yield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40" w:type="dxa"/>
            <w:vAlign w:val="bottom"/>
            <w:tcBorders>
              <w:bottom w:val="single" w:sz="8" w:color="2C2C2C"/>
            </w:tcBorders>
            <w:gridSpan w:val="11"/>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jc w:val="right"/>
              <w:ind w:right="6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20" w:type="dxa"/>
            <w:vAlign w:val="bottom"/>
            <w:gridSpan w:val="9"/>
          </w:tcPr>
          <w:p>
            <w:pPr>
              <w:ind w:left="6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4"/>
                <w:szCs w:val="14"/>
                <w:color w:val="auto"/>
              </w:rPr>
            </w:pPr>
          </w:p>
        </w:tc>
        <w:tc>
          <w:tcPr>
            <w:tcW w:w="70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Form:</w:t>
            </w:r>
          </w:p>
        </w:tc>
        <w:tc>
          <w:tcPr>
            <w:tcW w:w="360" w:type="dxa"/>
            <w:vAlign w:val="bottom"/>
          </w:tcPr>
          <w:p>
            <w:pPr>
              <w:spacing w:after="0"/>
              <w:rPr>
                <w:sz w:val="11"/>
                <w:szCs w:val="11"/>
                <w:color w:val="auto"/>
              </w:rPr>
            </w:pP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9"/>
              </w:rPr>
              <w:t>Derivative Security</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10/20/2025</w:t>
            </w:r>
          </w:p>
        </w:tc>
        <w:tc>
          <w:tcPr>
            <w:tcW w:w="1100" w:type="dxa"/>
            <w:vAlign w:val="bottom"/>
          </w:tcPr>
          <w:p>
            <w:pPr>
              <w:spacing w:after="0"/>
              <w:rPr>
                <w:sz w:val="21"/>
                <w:szCs w:val="21"/>
                <w:color w:val="auto"/>
              </w:rPr>
            </w:pPr>
          </w:p>
        </w:tc>
        <w:tc>
          <w:tcPr>
            <w:tcW w:w="440" w:type="dxa"/>
            <w:vAlign w:val="bottom"/>
          </w:tcPr>
          <w:p>
            <w:pPr>
              <w:ind w:left="100"/>
              <w:spacing w:after="0" w:line="247"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420" w:type="dxa"/>
            <w:vAlign w:val="bottom"/>
          </w:tcPr>
          <w:p>
            <w:pPr>
              <w:spacing w:after="0"/>
              <w:rPr>
                <w:sz w:val="21"/>
                <w:szCs w:val="21"/>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6,214</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Common</w:t>
            </w:r>
          </w:p>
        </w:tc>
        <w:tc>
          <w:tcPr>
            <w:tcW w:w="60" w:type="dxa"/>
            <w:vAlign w:val="bottom"/>
          </w:tcPr>
          <w:p>
            <w:pPr>
              <w:spacing w:after="0"/>
              <w:rPr>
                <w:sz w:val="21"/>
                <w:szCs w:val="21"/>
                <w:color w:val="auto"/>
              </w:rPr>
            </w:pP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0000FF"/>
              </w:rPr>
              <w:t>6,214</w:t>
            </w:r>
          </w:p>
        </w:tc>
        <w:tc>
          <w:tcPr>
            <w:tcW w:w="800" w:type="dxa"/>
            <w:vAlign w:val="bottom"/>
            <w:gridSpan w:val="2"/>
          </w:tcPr>
          <w:p>
            <w:pPr>
              <w:jc w:val="right"/>
              <w:ind w:right="282"/>
              <w:spacing w:after="0"/>
              <w:rPr>
                <w:sz w:val="20"/>
                <w:szCs w:val="20"/>
                <w:color w:val="auto"/>
              </w:rPr>
            </w:pPr>
            <w:r>
              <w:rPr>
                <w:rFonts w:ascii="Times New Roman" w:cs="Times New Roman" w:eastAsia="Times New Roman" w:hAnsi="Times New Roman"/>
                <w:sz w:val="11"/>
                <w:szCs w:val="11"/>
                <w:color w:val="008000"/>
              </w:rPr>
              <w:t>(5)</w:t>
            </w:r>
          </w:p>
        </w:tc>
        <w:tc>
          <w:tcPr>
            <w:tcW w:w="9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4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D</w:t>
            </w:r>
          </w:p>
        </w:tc>
        <w:tc>
          <w:tcPr>
            <w:tcW w:w="3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jc w:val="center"/>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180" w:firstLine="3"/>
        <w:spacing w:after="0" w:line="293" w:lineRule="auto"/>
        <w:tabs>
          <w:tab w:leader="none" w:pos="17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October 20, 2025, Huntington Bancshares Incorporated (Huntington) acquired the Issuer pursuant to the terms of that certain Agreement and Plan of Merger entered into by and between Huntington and the Issuer, dated as of July 13, 2025 (the Merger Agreement). Pursuant to the terms of the Merger Agreement, the Issuer merged with and into Huntington, with Huntington surviving such merger (the Merger).</w:t>
      </w:r>
    </w:p>
    <w:p>
      <w:pPr>
        <w:spacing w:after="0" w:line="1" w:lineRule="exact"/>
        <w:rPr>
          <w:rFonts w:ascii="Times New Roman" w:cs="Times New Roman" w:eastAsia="Times New Roman" w:hAnsi="Times New Roman"/>
          <w:sz w:val="12"/>
          <w:szCs w:val="12"/>
          <w:color w:val="008000"/>
        </w:rPr>
      </w:pPr>
    </w:p>
    <w:p>
      <w:pPr>
        <w:ind w:left="40" w:right="1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each share of Issuer common stock (other than certain excluded shares) outstanding immediately prior to the effective time of the Merger (the Effective Time) converted into the right to receive 1.95 shares of Huntington common stock (the Merger Consideration).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incorrectly reported as held by Eagle Creek Capital, LP on the reporting person's original Form 3.</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right to receive at settlement one share of common stock of the Company.</w:t>
      </w:r>
    </w:p>
    <w:p>
      <w:pPr>
        <w:spacing w:after="0" w:line="45" w:lineRule="exact"/>
        <w:rPr>
          <w:rFonts w:ascii="Times New Roman" w:cs="Times New Roman" w:eastAsia="Times New Roman" w:hAnsi="Times New Roman"/>
          <w:sz w:val="13"/>
          <w:szCs w:val="13"/>
          <w:color w:val="008000"/>
        </w:rPr>
      </w:pPr>
    </w:p>
    <w:p>
      <w:pPr>
        <w:ind w:left="40" w:right="3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each RSU outstanding immediately prior to the Effective Time was canceled and converted into the right to receive (without interest) a number of shares of Huntington common stock equal to the product of (i) the number of shares of Issuer common stock subject to such RSU immediately prior to the Effective Time, multiplied by (ii) the Exchange Ratio (as defined below), less any applicable tax withholdings. The ratio of 1.95 shares of Huntington common stock for one share of Issuer common stock is referred to as the Exchange Ratio.</w:t>
      </w:r>
    </w:p>
    <w:p>
      <w:pPr>
        <w:sectPr>
          <w:pgSz w:w="11900" w:h="16903" w:orient="portrait"/>
          <w:cols w:equalWidth="0" w:num="1">
            <w:col w:w="11080"/>
          </w:cols>
          <w:pgMar w:left="460" w:top="216" w:right="359" w:bottom="0" w:gutter="0" w:footer="0" w:header="0"/>
          <w:type w:val="continuous"/>
        </w:sectPr>
      </w:pP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903" w:orient="portrait"/>
          <w:cols w:equalWidth="0" w:num="1">
            <w:col w:w="11080"/>
          </w:cols>
          <w:pgMar w:left="460" w:top="216"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 xml:space="preserve">/s/ C. Malcolm Holland, III, by </w:t>
      </w:r>
      <w:r>
        <w:rPr>
          <w:rFonts w:ascii="Times New Roman" w:cs="Times New Roman" w:eastAsia="Times New Roman" w:hAnsi="Times New Roman"/>
          <w:sz w:val="33"/>
          <w:szCs w:val="33"/>
          <w:color w:val="0000FF"/>
          <w:vertAlign w:val="subscript"/>
        </w:rPr>
        <w:t>10/22/2025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-27305</wp:posOffset>
            </wp:positionV>
            <wp:extent cx="1335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-19685</wp:posOffset>
            </wp:positionV>
            <wp:extent cx="7626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62635" cy="825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9"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21579" TargetMode="External"/><Relationship Id="rId14" Type="http://schemas.openxmlformats.org/officeDocument/2006/relationships/hyperlink" Target="http://www.sec.gov/cgi-bin/browse-edgar?action=getcompany&amp;CIK=00015015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2025-10-22T17:27:45Z</dcterms:created>
  <dcterms:modified xsi:type="dcterms:W3CDTF">2025-10-22T17:27:45Z</dcterms:modified>
</cp:coreProperties>
</file>